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01C0" w14:textId="3ACD4EFA" w:rsidR="00FE2F84" w:rsidRDefault="00FE2F84" w:rsidP="00FE2F84">
      <w:pPr>
        <w:pStyle w:val="01Haupttitel"/>
        <w:jc w:val="left"/>
      </w:pPr>
      <w:r>
        <w:t>Baustein 1: Sprachplanung Für baustein 1</w:t>
      </w:r>
    </w:p>
    <w:p w14:paraId="1BC6D397" w14:textId="77777777" w:rsidR="00AB761D" w:rsidRPr="00AB761D" w:rsidRDefault="00AB761D" w:rsidP="00AB761D">
      <w:pPr>
        <w:rPr>
          <w:rFonts w:ascii="Frutiger LT Std 45 Light" w:hAnsi="Frutiger LT Std 45 Light"/>
          <w:sz w:val="18"/>
          <w:szCs w:val="18"/>
        </w:rPr>
      </w:pPr>
    </w:p>
    <w:p w14:paraId="3E01583E" w14:textId="6561D692" w:rsidR="00FE2F84" w:rsidRDefault="00FE2F84" w:rsidP="00FE2F84">
      <w:pPr>
        <w:pStyle w:val="05Grundtext"/>
        <w:jc w:val="left"/>
      </w:pPr>
      <w:bookmarkStart w:id="0" w:name="_Hlk145325421"/>
      <w:r w:rsidRPr="5DB3DBB3">
        <w:rPr>
          <w:b/>
          <w:bCs/>
        </w:rPr>
        <w:t>Vorbemerkung:</w:t>
      </w:r>
      <w:r>
        <w:t xml:space="preserve"> Die vorliegende Planung versteht sich als eine exemplarische Form der sprachlichen Planung. Sie ist nicht </w:t>
      </w:r>
      <w:proofErr w:type="spellStart"/>
      <w:r w:rsidR="00576705">
        <w:t>abschliessend</w:t>
      </w:r>
      <w:proofErr w:type="spellEnd"/>
      <w:r>
        <w:t xml:space="preserve"> und zeigt lediglich Teile einer möglichen (ausführlicheren) Form der Sprachplanung. Sie soll erweitert, modifiziert und/oder auf einzelne Lerngelegenheiten angepasst werden und dem von der Lehrperson gewählten Vertiefungsgrad der einzelnen Elemente der Verlaufsplanung entsprechen. </w:t>
      </w:r>
      <w:r>
        <w:br/>
        <w:t>Wichtig ist der Grad der Konkretisierung: Wörter und Wendungen, aber auch der Erwartungshorizont sollen konkret und authentisch ausformuliert sein.</w:t>
      </w:r>
    </w:p>
    <w:p w14:paraId="67A4B807" w14:textId="77777777" w:rsidR="00B37703" w:rsidRDefault="00B37703" w:rsidP="00FE2F84">
      <w:pPr>
        <w:pStyle w:val="05Grundtext"/>
        <w:jc w:val="left"/>
        <w:rPr>
          <w:b/>
          <w:bCs/>
          <w:caps/>
        </w:rPr>
      </w:pPr>
    </w:p>
    <w:bookmarkEnd w:id="0"/>
    <w:p w14:paraId="54A31F49" w14:textId="77777777" w:rsidR="00FE2F84" w:rsidRPr="0089267E" w:rsidRDefault="00FE2F84" w:rsidP="00FE2F84">
      <w:pPr>
        <w:pStyle w:val="01Haupttitel"/>
        <w:jc w:val="left"/>
        <w:rPr>
          <w:rFonts w:ascii="Arial" w:hAnsi="Arial" w:cs="Arial"/>
          <w:b w:val="0"/>
          <w:bCs w:val="0"/>
          <w:caps w:val="0"/>
          <w:color w:val="000000" w:themeColor="text1"/>
          <w:sz w:val="18"/>
          <w:szCs w:val="18"/>
        </w:rPr>
      </w:pPr>
    </w:p>
    <w:tbl>
      <w:tblPr>
        <w:tblStyle w:val="Tabellenraster"/>
        <w:tblW w:w="9906" w:type="dxa"/>
        <w:tblLook w:val="04A0" w:firstRow="1" w:lastRow="0" w:firstColumn="1" w:lastColumn="0" w:noHBand="0" w:noVBand="1"/>
      </w:tblPr>
      <w:tblGrid>
        <w:gridCol w:w="4957"/>
        <w:gridCol w:w="4949"/>
      </w:tblGrid>
      <w:tr w:rsidR="00FE2F84" w:rsidRPr="00ED7CE9" w14:paraId="28CCA954" w14:textId="77777777" w:rsidTr="5DB3DBB3">
        <w:tc>
          <w:tcPr>
            <w:tcW w:w="4957" w:type="dxa"/>
            <w:tcBorders>
              <w:bottom w:val="nil"/>
            </w:tcBorders>
          </w:tcPr>
          <w:p w14:paraId="10F4086B" w14:textId="77777777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D7CE9">
              <w:rPr>
                <w:i/>
                <w:iCs/>
                <w:color w:val="7F7F7F" w:themeColor="text1" w:themeTint="80"/>
                <w:sz w:val="18"/>
                <w:szCs w:val="18"/>
              </w:rPr>
              <w:t>Angaben zu Klasse /</w:t>
            </w:r>
            <w:r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zu den</w:t>
            </w:r>
            <w:r w:rsidRPr="00ED7CE9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Pr="00325F56">
              <w:rPr>
                <w:i/>
                <w:iCs/>
                <w:color w:val="7F7F7F" w:themeColor="text1" w:themeTint="80"/>
                <w:sz w:val="18"/>
                <w:szCs w:val="18"/>
              </w:rPr>
              <w:t>SuS</w:t>
            </w:r>
          </w:p>
        </w:tc>
        <w:tc>
          <w:tcPr>
            <w:tcW w:w="4949" w:type="dxa"/>
            <w:tcBorders>
              <w:bottom w:val="nil"/>
            </w:tcBorders>
          </w:tcPr>
          <w:p w14:paraId="7CF39CA0" w14:textId="77777777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46068EDC">
              <w:rPr>
                <w:i/>
                <w:iCs/>
                <w:color w:val="7F7F7F" w:themeColor="text1" w:themeTint="80"/>
                <w:sz w:val="18"/>
                <w:szCs w:val="18"/>
              </w:rPr>
              <w:t>Lernumgebung(</w:t>
            </w:r>
            <w:r w:rsidRPr="005C5307">
              <w:rPr>
                <w:i/>
                <w:iCs/>
                <w:color w:val="7F7F7F" w:themeColor="text1" w:themeTint="80"/>
                <w:sz w:val="18"/>
                <w:szCs w:val="18"/>
              </w:rPr>
              <w:t>en</w:t>
            </w:r>
            <w:r w:rsidRPr="46068EDC">
              <w:rPr>
                <w:i/>
                <w:iCs/>
                <w:color w:val="7F7F7F" w:themeColor="text1" w:themeTint="80"/>
                <w:sz w:val="18"/>
                <w:szCs w:val="18"/>
              </w:rPr>
              <w:t>), Aufgabenstellung(</w:t>
            </w:r>
            <w:r w:rsidRPr="005C5307">
              <w:rPr>
                <w:i/>
                <w:iCs/>
                <w:color w:val="7F7F7F" w:themeColor="text1" w:themeTint="80"/>
                <w:sz w:val="18"/>
                <w:szCs w:val="18"/>
              </w:rPr>
              <w:t>en</w:t>
            </w:r>
            <w:r w:rsidRPr="46068EDC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), </w:t>
            </w:r>
            <w:r>
              <w:rPr>
                <w:i/>
                <w:iCs/>
                <w:color w:val="7F7F7F" w:themeColor="text1" w:themeTint="80"/>
                <w:sz w:val="18"/>
                <w:szCs w:val="18"/>
              </w:rPr>
              <w:t>Erkenntnisziele</w:t>
            </w:r>
          </w:p>
        </w:tc>
      </w:tr>
      <w:tr w:rsidR="00FE2F84" w:rsidRPr="00E76888" w14:paraId="2741DC51" w14:textId="77777777" w:rsidTr="5DB3DBB3">
        <w:trPr>
          <w:trHeight w:val="851"/>
        </w:trPr>
        <w:tc>
          <w:tcPr>
            <w:tcW w:w="4957" w:type="dxa"/>
            <w:tcBorders>
              <w:top w:val="nil"/>
              <w:bottom w:val="nil"/>
            </w:tcBorders>
          </w:tcPr>
          <w:p w14:paraId="4E88B117" w14:textId="77777777" w:rsidR="00FE2F84" w:rsidRPr="00E76888" w:rsidRDefault="00FE2F84" w:rsidP="001F7FC0">
            <w:pPr>
              <w:rPr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14:paraId="6CFE9452" w14:textId="45FDA682" w:rsidR="00FE2F84" w:rsidRDefault="007A0088" w:rsidP="001F7FC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00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Klassengespräch</w:t>
            </w:r>
            <w:r w:rsidR="00FE2F8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25E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Die eigene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Dokumentation</w:t>
            </w:r>
            <w:r w:rsidR="00C25E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zeigen und beschreiben.</w:t>
            </w:r>
          </w:p>
          <w:p w14:paraId="7D8D0D3D" w14:textId="3B96CFF0" w:rsidR="007A0088" w:rsidRPr="00905FCC" w:rsidRDefault="007A0088" w:rsidP="00905FC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00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Sortieren und gruppieren</w:t>
            </w:r>
            <w:r w:rsidR="00FE2F8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Die Zeichnungen sortieren, verschiedene Kategorien/Oberbegriffe suchen und die Zeichnungen entsprechend zuordnen. </w:t>
            </w:r>
            <w:r w:rsidR="0040560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FE2F84" w:rsidRPr="00BB1ADF" w14:paraId="3A85194C" w14:textId="77777777" w:rsidTr="5DB3DBB3">
        <w:tc>
          <w:tcPr>
            <w:tcW w:w="9906" w:type="dxa"/>
            <w:gridSpan w:val="2"/>
            <w:shd w:val="clear" w:color="auto" w:fill="FBD4B4" w:themeFill="accent6" w:themeFillTint="66"/>
          </w:tcPr>
          <w:p w14:paraId="24ADCC58" w14:textId="77777777" w:rsidR="00FE2F84" w:rsidRPr="00BB1ADF" w:rsidRDefault="00FE2F84" w:rsidP="001F7FC0">
            <w:pPr>
              <w:jc w:val="center"/>
              <w:rPr>
                <w:b/>
                <w:bCs/>
              </w:rPr>
            </w:pPr>
            <w:r w:rsidRPr="00BB1ADF">
              <w:rPr>
                <w:b/>
                <w:bCs/>
              </w:rPr>
              <w:t>Sprachhandlungen</w:t>
            </w:r>
          </w:p>
        </w:tc>
      </w:tr>
      <w:tr w:rsidR="00FE2F84" w:rsidRPr="00ED7CE9" w14:paraId="37255EC8" w14:textId="77777777" w:rsidTr="5DB3DBB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F283D79" w14:textId="23A3E8CA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5EEF1260">
              <w:rPr>
                <w:i/>
                <w:iCs/>
                <w:color w:val="7F7F7F" w:themeColor="text1" w:themeTint="80"/>
                <w:sz w:val="18"/>
                <w:szCs w:val="18"/>
              </w:rPr>
              <w:t>Sprachhandlung der Kinder (erklären, beschreiben, begründen</w:t>
            </w:r>
            <w:r w:rsidRPr="005C5307">
              <w:rPr>
                <w:i/>
                <w:iCs/>
                <w:color w:val="7F7F7F" w:themeColor="text1" w:themeTint="80"/>
                <w:sz w:val="18"/>
                <w:szCs w:val="18"/>
              </w:rPr>
              <w:t>, …)</w:t>
            </w:r>
          </w:p>
        </w:tc>
        <w:tc>
          <w:tcPr>
            <w:tcW w:w="4949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65CAFBA9" w14:textId="6226589C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5EEF1260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Sprachliche Rolle der Lehrperson (Lenkung durch LP hoch &gt; niedrig): LP-Vortrag &gt; fragend-entwickelnder Dialog &gt; sokratischer Dialog &gt; Gespräch mit SuS &gt; Diskussion &gt; </w:t>
            </w:r>
            <w:r w:rsidRPr="00325F56">
              <w:rPr>
                <w:i/>
                <w:iCs/>
                <w:color w:val="7F7F7F" w:themeColor="text1" w:themeTint="80"/>
                <w:sz w:val="18"/>
                <w:szCs w:val="18"/>
              </w:rPr>
              <w:t>Austausch</w:t>
            </w:r>
          </w:p>
        </w:tc>
      </w:tr>
      <w:tr w:rsidR="00FE2F84" w:rsidRPr="00E76888" w14:paraId="650B4B5E" w14:textId="77777777" w:rsidTr="5DB3DBB3">
        <w:trPr>
          <w:trHeight w:val="1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713" w14:textId="09753EC3" w:rsidR="00FE2F84" w:rsidRDefault="00C25E1A" w:rsidP="001F7FC0">
            <w:pPr>
              <w:pStyle w:val="Listenabsatz"/>
              <w:numPr>
                <w:ilvl w:val="0"/>
                <w:numId w:val="5"/>
              </w:numPr>
              <w:ind w:left="312" w:hanging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Dokumentation beschreiben</w:t>
            </w:r>
          </w:p>
          <w:p w14:paraId="59605444" w14:textId="2C620A3B" w:rsidR="00580182" w:rsidRPr="00905FCC" w:rsidRDefault="00C25E1A" w:rsidP="00905FCC">
            <w:pPr>
              <w:pStyle w:val="Listenabsatz"/>
              <w:numPr>
                <w:ilvl w:val="0"/>
                <w:numId w:val="5"/>
              </w:numPr>
              <w:ind w:left="312" w:hanging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Zeichnungen sortieren, Zuordnung begründen, Oberbegriffe/Kategorien bilden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</w:tcBorders>
          </w:tcPr>
          <w:p w14:paraId="5F8D8FAA" w14:textId="663794FE" w:rsidR="00FE2F84" w:rsidRDefault="00C25E1A" w:rsidP="001F7FC0">
            <w:pPr>
              <w:pStyle w:val="Listenabsatz"/>
              <w:numPr>
                <w:ilvl w:val="0"/>
                <w:numId w:val="6"/>
              </w:numPr>
              <w:ind w:left="312" w:hanging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Sokratischer Dialog</w:t>
            </w:r>
            <w:r w:rsidR="00012BF1">
              <w:rPr>
                <w:color w:val="000000" w:themeColor="text1"/>
                <w:sz w:val="18"/>
                <w:szCs w:val="18"/>
              </w:rPr>
              <w:t>,</w:t>
            </w:r>
            <w:r w:rsidR="00905FCC">
              <w:rPr>
                <w:color w:val="000000" w:themeColor="text1"/>
                <w:sz w:val="18"/>
                <w:szCs w:val="18"/>
              </w:rPr>
              <w:t xml:space="preserve"> in dem die Lehrperson die Moderation übernimmt, allenfalls Verständnisfragen stellen und beim Beschreiben unterstützen (insbesondere bei fehlendem Wortschatz)</w:t>
            </w:r>
          </w:p>
          <w:p w14:paraId="54CD5A3A" w14:textId="1232A2A8" w:rsidR="00C25E1A" w:rsidRPr="00905FCC" w:rsidRDefault="00FE2F84" w:rsidP="00905FCC">
            <w:pPr>
              <w:pStyle w:val="Listenabsatz"/>
              <w:numPr>
                <w:ilvl w:val="0"/>
                <w:numId w:val="6"/>
              </w:numPr>
              <w:ind w:left="312" w:hanging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Fragend-entwickelnder Dialog z</w:t>
            </w:r>
            <w:r w:rsidR="00905FCC">
              <w:rPr>
                <w:color w:val="000000" w:themeColor="text1"/>
                <w:sz w:val="18"/>
                <w:szCs w:val="18"/>
              </w:rPr>
              <w:t>u den Begründungen der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05FCC">
              <w:rPr>
                <w:color w:val="000000" w:themeColor="text1"/>
                <w:sz w:val="18"/>
                <w:szCs w:val="18"/>
              </w:rPr>
              <w:t>Zuordnungen</w:t>
            </w:r>
            <w:r w:rsidR="00E038FF">
              <w:rPr>
                <w:color w:val="000000" w:themeColor="text1"/>
                <w:sz w:val="18"/>
                <w:szCs w:val="18"/>
              </w:rPr>
              <w:t>.</w:t>
            </w:r>
            <w:r w:rsidR="0040560A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FE2F84" w:rsidRPr="00BB1ADF" w14:paraId="198C39B7" w14:textId="77777777" w:rsidTr="5DB3DBB3">
        <w:tc>
          <w:tcPr>
            <w:tcW w:w="990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D574F5A" w14:textId="77777777" w:rsidR="00FE2F84" w:rsidRPr="00BB1ADF" w:rsidRDefault="00FE2F84" w:rsidP="001F7FC0">
            <w:pPr>
              <w:jc w:val="center"/>
              <w:rPr>
                <w:b/>
                <w:bCs/>
              </w:rPr>
            </w:pPr>
            <w:r w:rsidRPr="00BB1ADF">
              <w:rPr>
                <w:b/>
                <w:bCs/>
              </w:rPr>
              <w:t>Sprachliche Mittel</w:t>
            </w:r>
          </w:p>
        </w:tc>
      </w:tr>
      <w:tr w:rsidR="00FE2F84" w:rsidRPr="00ED7CE9" w14:paraId="0CEAE5E2" w14:textId="77777777" w:rsidTr="5DB3DBB3">
        <w:tc>
          <w:tcPr>
            <w:tcW w:w="9906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338EEB70" w14:textId="3CF52547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D7CE9">
              <w:rPr>
                <w:i/>
                <w:iCs/>
                <w:color w:val="7F7F7F" w:themeColor="text1" w:themeTint="80"/>
                <w:sz w:val="18"/>
                <w:szCs w:val="18"/>
              </w:rPr>
              <w:t>Wörter und Wendungen</w:t>
            </w:r>
            <w:r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(Satzanfänge, Formulierungen, satzübergreifende Strukturen</w:t>
            </w:r>
            <w:r w:rsidRPr="00325F56">
              <w:rPr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FE2F84" w:rsidRPr="00E76888" w14:paraId="053B206C" w14:textId="77777777" w:rsidTr="5DB3DBB3">
        <w:trPr>
          <w:trHeight w:val="1959"/>
        </w:trPr>
        <w:tc>
          <w:tcPr>
            <w:tcW w:w="9906" w:type="dxa"/>
            <w:gridSpan w:val="2"/>
            <w:tcBorders>
              <w:top w:val="nil"/>
            </w:tcBorders>
          </w:tcPr>
          <w:p w14:paraId="2A81B970" w14:textId="45E0A8E8" w:rsidR="00FE2F84" w:rsidRDefault="272F494F" w:rsidP="001F7FC0">
            <w:pPr>
              <w:pStyle w:val="Listenabsatz"/>
              <w:numPr>
                <w:ilvl w:val="0"/>
                <w:numId w:val="4"/>
              </w:numPr>
              <w:ind w:left="312" w:hanging="312"/>
              <w:rPr>
                <w:color w:val="000000" w:themeColor="text1"/>
                <w:sz w:val="18"/>
                <w:szCs w:val="18"/>
              </w:rPr>
            </w:pPr>
            <w:r w:rsidRPr="5DB3DBB3">
              <w:rPr>
                <w:color w:val="000000" w:themeColor="text1"/>
                <w:sz w:val="18"/>
                <w:szCs w:val="18"/>
              </w:rPr>
              <w:t>der Himmel, der Stern, die Sternschnuppe, die Sonne, der Planet, der Mond, die Wolke, der Regen,</w:t>
            </w:r>
            <w:r w:rsidR="3C06A6CE" w:rsidRPr="5DB3DBB3">
              <w:rPr>
                <w:color w:val="000000" w:themeColor="text1"/>
                <w:sz w:val="18"/>
                <w:szCs w:val="18"/>
              </w:rPr>
              <w:t xml:space="preserve"> der Schnee, die Schneeflocke,</w:t>
            </w:r>
            <w:r w:rsidRPr="5DB3DBB3">
              <w:rPr>
                <w:color w:val="000000" w:themeColor="text1"/>
                <w:sz w:val="18"/>
                <w:szCs w:val="18"/>
              </w:rPr>
              <w:t xml:space="preserve"> der Regenbogen, das Flugzeug, der Helikopter/Hubschrauber, die Rakete, der Satellit, der Meteorit, der Heissluftballon, der Fallschirm, der Gleitschirm, der Vogel, der Schmetterling, die Biene, die Wespe, der Käfer</w:t>
            </w:r>
            <w:r w:rsidR="6388C912" w:rsidRPr="5DB3DBB3">
              <w:rPr>
                <w:color w:val="000000" w:themeColor="text1"/>
                <w:sz w:val="18"/>
                <w:szCs w:val="18"/>
              </w:rPr>
              <w:t>, das Laubblatt</w:t>
            </w:r>
            <w:r w:rsidR="6FB636A2" w:rsidRPr="5DB3DBB3">
              <w:rPr>
                <w:color w:val="000000" w:themeColor="text1"/>
                <w:sz w:val="18"/>
                <w:szCs w:val="18"/>
              </w:rPr>
              <w:t xml:space="preserve">, </w:t>
            </w:r>
            <w:r w:rsidR="5C2CE7BB" w:rsidRPr="5DB3DBB3">
              <w:rPr>
                <w:color w:val="000000" w:themeColor="text1"/>
                <w:sz w:val="18"/>
                <w:szCs w:val="18"/>
              </w:rPr>
              <w:t>die Nadeln von Nadelbäumen</w:t>
            </w:r>
            <w:r w:rsidR="00D91BAB">
              <w:br/>
            </w:r>
            <w:r w:rsidRPr="5DB3DBB3">
              <w:rPr>
                <w:color w:val="000000" w:themeColor="text1"/>
                <w:sz w:val="18"/>
                <w:szCs w:val="18"/>
              </w:rPr>
              <w:t>Farben: z.B. blau, hellblau, dunkelblau, bläulich</w:t>
            </w:r>
            <w:r w:rsidR="00D91BAB">
              <w:br/>
            </w:r>
            <w:r w:rsidRPr="5DB3DBB3">
              <w:rPr>
                <w:color w:val="000000" w:themeColor="text1"/>
                <w:sz w:val="18"/>
                <w:szCs w:val="18"/>
              </w:rPr>
              <w:t>oben, unten, gross, klein, weit (weg)</w:t>
            </w:r>
            <w:r w:rsidR="00D91BAB">
              <w:br/>
            </w:r>
            <w:r w:rsidRPr="5DB3DBB3">
              <w:rPr>
                <w:color w:val="000000" w:themeColor="text1"/>
                <w:sz w:val="18"/>
                <w:szCs w:val="18"/>
              </w:rPr>
              <w:t>(nur) in der Nacht, am Tag, immer</w:t>
            </w:r>
            <w:r w:rsidR="00D91BAB">
              <w:br/>
            </w:r>
            <w:r w:rsidRPr="5DB3DBB3">
              <w:rPr>
                <w:color w:val="000000" w:themeColor="text1"/>
                <w:sz w:val="18"/>
                <w:szCs w:val="18"/>
              </w:rPr>
              <w:t>Ich habe … gesehen/gezeichnet. Das ist ein/e …</w:t>
            </w:r>
            <w:r w:rsidR="00D91BAB">
              <w:br/>
            </w:r>
            <w:r w:rsidR="15FBF9DF" w:rsidRPr="5DB3DBB3">
              <w:rPr>
                <w:color w:val="000000" w:themeColor="text1"/>
                <w:sz w:val="18"/>
                <w:szCs w:val="18"/>
              </w:rPr>
              <w:t>Der/Die/Das ist …</w:t>
            </w:r>
          </w:p>
          <w:p w14:paraId="4DB3C937" w14:textId="699C9219" w:rsidR="00C754B4" w:rsidRPr="00C754B4" w:rsidRDefault="00C754B4" w:rsidP="00C754B4">
            <w:pPr>
              <w:pStyle w:val="Listenabsatz"/>
              <w:numPr>
                <w:ilvl w:val="0"/>
                <w:numId w:val="4"/>
              </w:numPr>
              <w:ind w:left="312" w:hanging="31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der Oberbegriff, die Kategorie, die Gruppe, sortieren, ordnen, gruppieren, ähnlich, gleich, zusammengehören</w:t>
            </w:r>
            <w:r>
              <w:rPr>
                <w:color w:val="000000" w:themeColor="text1"/>
                <w:sz w:val="18"/>
                <w:szCs w:val="18"/>
              </w:rPr>
              <w:br/>
              <w:t>Diese Zeichnung/Das gehört zu dieser Gruppe/Kategorie</w:t>
            </w:r>
            <w:r w:rsidR="0003753D">
              <w:rPr>
                <w:color w:val="000000" w:themeColor="text1"/>
                <w:sz w:val="18"/>
                <w:szCs w:val="18"/>
              </w:rPr>
              <w:t>, weil</w:t>
            </w:r>
            <w:r w:rsidR="00BB4959">
              <w:rPr>
                <w:color w:val="000000" w:themeColor="text1"/>
                <w:sz w:val="18"/>
                <w:szCs w:val="18"/>
              </w:rPr>
              <w:t xml:space="preserve"> </w:t>
            </w:r>
            <w:r w:rsidR="0003753D">
              <w:rPr>
                <w:color w:val="000000" w:themeColor="text1"/>
                <w:sz w:val="18"/>
                <w:szCs w:val="18"/>
              </w:rPr>
              <w:t>…</w:t>
            </w:r>
            <w:r>
              <w:rPr>
                <w:color w:val="000000" w:themeColor="text1"/>
                <w:sz w:val="18"/>
                <w:szCs w:val="18"/>
              </w:rPr>
              <w:t xml:space="preserve"> Diese Zeichnungen gehören zusammen/sind gleich/ähnlich</w:t>
            </w:r>
            <w:r w:rsidR="0003753D">
              <w:rPr>
                <w:color w:val="000000" w:themeColor="text1"/>
                <w:sz w:val="18"/>
                <w:szCs w:val="18"/>
              </w:rPr>
              <w:t>, weil</w:t>
            </w:r>
            <w:r w:rsidR="00BB4959">
              <w:rPr>
                <w:color w:val="000000" w:themeColor="text1"/>
                <w:sz w:val="18"/>
                <w:szCs w:val="18"/>
              </w:rPr>
              <w:t xml:space="preserve"> </w:t>
            </w:r>
            <w:r w:rsidR="0003753D">
              <w:rPr>
                <w:color w:val="000000" w:themeColor="text1"/>
                <w:sz w:val="18"/>
                <w:szCs w:val="18"/>
              </w:rPr>
              <w:t>…</w:t>
            </w:r>
            <w:r>
              <w:rPr>
                <w:color w:val="000000" w:themeColor="text1"/>
                <w:sz w:val="18"/>
                <w:szCs w:val="18"/>
              </w:rPr>
              <w:br/>
              <w:t>Das sieht man (nicht) immer. Das ist natürlich/künstlich, Natur/Technik.</w:t>
            </w:r>
            <w:r>
              <w:rPr>
                <w:color w:val="000000" w:themeColor="text1"/>
                <w:sz w:val="18"/>
                <w:szCs w:val="18"/>
              </w:rPr>
              <w:br/>
              <w:t>stillstehen/bewegen, Das steht still. Das bewegt sich.</w:t>
            </w:r>
            <w:r>
              <w:rPr>
                <w:color w:val="000000" w:themeColor="text1"/>
                <w:sz w:val="18"/>
                <w:szCs w:val="18"/>
              </w:rPr>
              <w:br/>
              <w:t>Wetter/Wetterphänomen. Das gehört zum Wetter. Das ist ein Wetterphänomen.</w:t>
            </w:r>
            <w:r>
              <w:rPr>
                <w:color w:val="000000" w:themeColor="text1"/>
                <w:sz w:val="18"/>
                <w:szCs w:val="18"/>
              </w:rPr>
              <w:br/>
              <w:t>Das ist ein Tier.</w:t>
            </w:r>
            <w:r>
              <w:rPr>
                <w:color w:val="000000" w:themeColor="text1"/>
                <w:sz w:val="18"/>
                <w:szCs w:val="18"/>
              </w:rPr>
              <w:br/>
              <w:t>Das ist ein Flugobjekt/Ballon/Helikopter/Flugzeug/…</w:t>
            </w:r>
            <w:r>
              <w:rPr>
                <w:color w:val="000000" w:themeColor="text1"/>
                <w:sz w:val="18"/>
                <w:szCs w:val="18"/>
              </w:rPr>
              <w:br/>
              <w:t>Der Himmel ist grau/hellgrau/dunkelgrau/gräulich/blau</w:t>
            </w:r>
            <w:r w:rsidR="00BB495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…</w:t>
            </w:r>
            <w:r w:rsidR="0040560A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FE2F84" w:rsidRPr="00BB1ADF" w14:paraId="5D671282" w14:textId="77777777" w:rsidTr="00012BF1">
        <w:trPr>
          <w:trHeight w:val="40"/>
        </w:trPr>
        <w:tc>
          <w:tcPr>
            <w:tcW w:w="9906" w:type="dxa"/>
            <w:gridSpan w:val="2"/>
            <w:shd w:val="clear" w:color="auto" w:fill="FBD4B4" w:themeFill="accent6" w:themeFillTint="66"/>
          </w:tcPr>
          <w:p w14:paraId="48576FC1" w14:textId="4CC4354F" w:rsidR="00FE2F84" w:rsidRPr="00BB1ADF" w:rsidRDefault="00FE2F84" w:rsidP="001F7FC0">
            <w:pPr>
              <w:jc w:val="center"/>
              <w:rPr>
                <w:b/>
                <w:bCs/>
              </w:rPr>
            </w:pPr>
            <w:r w:rsidRPr="00BB1ADF">
              <w:rPr>
                <w:b/>
                <w:bCs/>
              </w:rPr>
              <w:lastRenderedPageBreak/>
              <w:t>Erwartungshorizont</w:t>
            </w:r>
          </w:p>
        </w:tc>
      </w:tr>
      <w:tr w:rsidR="00FE2F84" w:rsidRPr="00ED7CE9" w14:paraId="1B01802B" w14:textId="77777777" w:rsidTr="00012BF1">
        <w:trPr>
          <w:trHeight w:val="40"/>
        </w:trPr>
        <w:tc>
          <w:tcPr>
            <w:tcW w:w="4957" w:type="dxa"/>
            <w:tcBorders>
              <w:bottom w:val="nil"/>
            </w:tcBorders>
            <w:shd w:val="clear" w:color="auto" w:fill="FDE9D9" w:themeFill="accent6" w:themeFillTint="33"/>
          </w:tcPr>
          <w:p w14:paraId="563DE56F" w14:textId="3EFC4A49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4D08C176">
              <w:rPr>
                <w:i/>
                <w:iCs/>
                <w:color w:val="7F7F7F" w:themeColor="text1" w:themeTint="80"/>
                <w:sz w:val="18"/>
                <w:szCs w:val="18"/>
              </w:rPr>
              <w:t>Ausformulierter Erwartungshorizont zur Sprache der Kinder (Was sollen die Kinder ganz konkret sagen/schreiben?)</w:t>
            </w:r>
          </w:p>
        </w:tc>
        <w:tc>
          <w:tcPr>
            <w:tcW w:w="4949" w:type="dxa"/>
            <w:tcBorders>
              <w:bottom w:val="nil"/>
            </w:tcBorders>
            <w:shd w:val="clear" w:color="auto" w:fill="FDE9D9" w:themeFill="accent6" w:themeFillTint="33"/>
          </w:tcPr>
          <w:p w14:paraId="1F97B5DB" w14:textId="6FBAB007" w:rsidR="00FE2F84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2D752B">
              <w:rPr>
                <w:i/>
                <w:iCs/>
                <w:color w:val="7F7F7F" w:themeColor="text1" w:themeTint="80"/>
                <w:sz w:val="18"/>
                <w:szCs w:val="18"/>
              </w:rPr>
              <w:t>Ausformulierter Erwartungshorizont zur Sprache der Lehrperson (Welche Zielstrukturen will ich als LP häufig verwenden?)</w:t>
            </w:r>
          </w:p>
          <w:p w14:paraId="1A2866EE" w14:textId="77777777" w:rsidR="00FE2F84" w:rsidRPr="00ED7CE9" w:rsidRDefault="00FE2F84" w:rsidP="001F7FC0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i/>
                <w:iCs/>
                <w:color w:val="7F7F7F" w:themeColor="text1" w:themeTint="80"/>
                <w:sz w:val="18"/>
                <w:szCs w:val="18"/>
              </w:rPr>
              <w:t>Modellierungstechniken</w:t>
            </w:r>
          </w:p>
        </w:tc>
      </w:tr>
      <w:tr w:rsidR="00FE2F84" w:rsidRPr="00E76888" w14:paraId="11EBB2EF" w14:textId="77777777" w:rsidTr="001F7FC0">
        <w:trPr>
          <w:trHeight w:val="2318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239EC4F2" w14:textId="1A02BFEC" w:rsidR="00FE2F84" w:rsidRDefault="00FE2F84" w:rsidP="001F7FC0">
            <w:pPr>
              <w:pStyle w:val="Listenabsatz"/>
              <w:numPr>
                <w:ilvl w:val="0"/>
                <w:numId w:val="7"/>
              </w:numPr>
              <w:ind w:left="312" w:hanging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«Ich habe … gezeichnet</w:t>
            </w:r>
            <w:r w:rsidR="000A2BF3">
              <w:rPr>
                <w:color w:val="000000" w:themeColor="text1"/>
                <w:sz w:val="18"/>
                <w:szCs w:val="18"/>
              </w:rPr>
              <w:t>/gesehen</w:t>
            </w:r>
            <w:r>
              <w:rPr>
                <w:color w:val="000000" w:themeColor="text1"/>
                <w:sz w:val="18"/>
                <w:szCs w:val="18"/>
              </w:rPr>
              <w:t>.»</w:t>
            </w:r>
            <w:r>
              <w:rPr>
                <w:color w:val="000000" w:themeColor="text1"/>
                <w:sz w:val="18"/>
                <w:szCs w:val="18"/>
              </w:rPr>
              <w:br/>
              <w:t>«Das ist ein/e</w:t>
            </w:r>
            <w:r w:rsidRPr="005C5307">
              <w:rPr>
                <w:color w:val="000000" w:themeColor="text1"/>
                <w:sz w:val="18"/>
                <w:szCs w:val="18"/>
              </w:rPr>
              <w:t xml:space="preserve"> …»</w:t>
            </w:r>
          </w:p>
          <w:p w14:paraId="1CF62ACB" w14:textId="212A9FFD" w:rsidR="00FE2F84" w:rsidRPr="008F6CEF" w:rsidRDefault="00FE2F84" w:rsidP="001F7FC0">
            <w:pPr>
              <w:pStyle w:val="Listenabsatz"/>
              <w:numPr>
                <w:ilvl w:val="0"/>
                <w:numId w:val="7"/>
              </w:numPr>
              <w:ind w:left="312" w:hanging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</w:t>
            </w:r>
            <w:r w:rsidR="001E2D60">
              <w:rPr>
                <w:color w:val="000000" w:themeColor="text1"/>
                <w:sz w:val="18"/>
                <w:szCs w:val="18"/>
              </w:rPr>
              <w:t>Diese Zeichnung/Das gehört zu dieser Gruppe/Kategorie, weil…»</w:t>
            </w:r>
            <w:r w:rsidR="001E2D60">
              <w:rPr>
                <w:color w:val="000000" w:themeColor="text1"/>
                <w:sz w:val="18"/>
                <w:szCs w:val="18"/>
              </w:rPr>
              <w:br/>
              <w:t>«Diese Zeichnungen gehören zusammen/sind gleich/ähnlich, weil</w:t>
            </w:r>
            <w:r w:rsidR="00EA06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1E2D60">
              <w:rPr>
                <w:color w:val="000000" w:themeColor="text1"/>
                <w:sz w:val="18"/>
                <w:szCs w:val="18"/>
              </w:rPr>
              <w:t>…»</w:t>
            </w:r>
          </w:p>
        </w:tc>
        <w:tc>
          <w:tcPr>
            <w:tcW w:w="4949" w:type="dxa"/>
            <w:tcBorders>
              <w:top w:val="nil"/>
              <w:bottom w:val="single" w:sz="4" w:space="0" w:color="auto"/>
            </w:tcBorders>
          </w:tcPr>
          <w:p w14:paraId="2AD46E09" w14:textId="0A304BC0" w:rsidR="00FE2F84" w:rsidRPr="00576705" w:rsidRDefault="00FE2F84" w:rsidP="001F7FC0">
            <w:pPr>
              <w:pStyle w:val="Listenabsatz"/>
              <w:numPr>
                <w:ilvl w:val="0"/>
                <w:numId w:val="8"/>
              </w:numPr>
              <w:ind w:left="312" w:hanging="312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</w:t>
            </w:r>
            <w:r w:rsidR="000A2BF3">
              <w:rPr>
                <w:color w:val="000000" w:themeColor="text1"/>
                <w:sz w:val="18"/>
                <w:szCs w:val="18"/>
              </w:rPr>
              <w:t>Was hast du gesehen/gezeichnet?» «Beschreibe, was du gesehen/gezeichnet hast.»</w:t>
            </w:r>
            <w:r w:rsidR="000A2BF3">
              <w:rPr>
                <w:color w:val="000000" w:themeColor="text1"/>
                <w:sz w:val="18"/>
                <w:szCs w:val="18"/>
              </w:rPr>
              <w:br/>
              <w:t xml:space="preserve">Ich achte auf die </w:t>
            </w:r>
            <w:r w:rsidR="000A2BF3" w:rsidRPr="00804D63">
              <w:rPr>
                <w:b/>
                <w:bCs/>
                <w:color w:val="000000" w:themeColor="text1"/>
                <w:sz w:val="18"/>
                <w:szCs w:val="18"/>
              </w:rPr>
              <w:t>Präsentation</w:t>
            </w:r>
            <w:r w:rsidR="000A2BF3">
              <w:rPr>
                <w:color w:val="000000" w:themeColor="text1"/>
                <w:sz w:val="18"/>
                <w:szCs w:val="18"/>
              </w:rPr>
              <w:t xml:space="preserve"> der Zielstruktur und betone insbesondere die</w:t>
            </w:r>
            <w:r w:rsidR="006D177A">
              <w:rPr>
                <w:color w:val="000000" w:themeColor="text1"/>
                <w:sz w:val="18"/>
                <w:szCs w:val="18"/>
              </w:rPr>
              <w:t xml:space="preserve"> Nutzung des Perfekts (hast/habe </w:t>
            </w:r>
            <w:r w:rsidR="006D177A" w:rsidRPr="006D177A">
              <w:rPr>
                <w:b/>
                <w:bCs/>
                <w:color w:val="000000" w:themeColor="text1"/>
                <w:sz w:val="18"/>
                <w:szCs w:val="18"/>
              </w:rPr>
              <w:t>ge</w:t>
            </w:r>
            <w:r w:rsidR="006D177A">
              <w:rPr>
                <w:color w:val="000000" w:themeColor="text1"/>
                <w:sz w:val="18"/>
                <w:szCs w:val="18"/>
              </w:rPr>
              <w:t>zeichnet/</w:t>
            </w:r>
            <w:r w:rsidR="006D177A" w:rsidRPr="006D177A">
              <w:rPr>
                <w:b/>
                <w:bCs/>
                <w:color w:val="000000" w:themeColor="text1"/>
                <w:sz w:val="18"/>
                <w:szCs w:val="18"/>
              </w:rPr>
              <w:t>ge</w:t>
            </w:r>
            <w:r w:rsidR="006D177A">
              <w:rPr>
                <w:color w:val="000000" w:themeColor="text1"/>
                <w:sz w:val="18"/>
                <w:szCs w:val="18"/>
              </w:rPr>
              <w:t>sehen).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Ich nutze </w:t>
            </w:r>
            <w:r w:rsidR="006D177A">
              <w:rPr>
                <w:color w:val="000000" w:themeColor="text1"/>
                <w:sz w:val="18"/>
                <w:szCs w:val="18"/>
              </w:rPr>
              <w:t xml:space="preserve">die </w:t>
            </w:r>
            <w:r w:rsidRPr="004478D1">
              <w:rPr>
                <w:b/>
                <w:bCs/>
                <w:color w:val="000000" w:themeColor="text1"/>
                <w:sz w:val="18"/>
                <w:szCs w:val="18"/>
              </w:rPr>
              <w:t>Expansion</w:t>
            </w:r>
            <w:r>
              <w:rPr>
                <w:color w:val="000000" w:themeColor="text1"/>
                <w:sz w:val="18"/>
                <w:szCs w:val="18"/>
              </w:rPr>
              <w:t xml:space="preserve"> konsequent und </w:t>
            </w:r>
            <w:proofErr w:type="gramStart"/>
            <w:r w:rsidRPr="00576705">
              <w:rPr>
                <w:color w:val="000000" w:themeColor="text1"/>
                <w:sz w:val="18"/>
                <w:szCs w:val="18"/>
              </w:rPr>
              <w:t>vervollständige</w:t>
            </w:r>
            <w:proofErr w:type="gramEnd"/>
            <w:r w:rsidRPr="00576705">
              <w:rPr>
                <w:color w:val="000000" w:themeColor="text1"/>
                <w:sz w:val="18"/>
                <w:szCs w:val="18"/>
              </w:rPr>
              <w:t xml:space="preserve"> </w:t>
            </w:r>
            <w:r w:rsidR="006D177A" w:rsidRPr="00576705">
              <w:rPr>
                <w:color w:val="000000" w:themeColor="text1"/>
                <w:sz w:val="18"/>
                <w:szCs w:val="18"/>
              </w:rPr>
              <w:t xml:space="preserve">wenn nötig </w:t>
            </w:r>
            <w:r w:rsidRPr="00576705">
              <w:rPr>
                <w:color w:val="000000" w:themeColor="text1"/>
                <w:sz w:val="18"/>
                <w:szCs w:val="18"/>
              </w:rPr>
              <w:t xml:space="preserve">die Äusserungen (vgl. Download </w:t>
            </w:r>
            <w:proofErr w:type="spellStart"/>
            <w:r w:rsidRPr="00576705">
              <w:rPr>
                <w:i/>
                <w:color w:val="000000" w:themeColor="text1"/>
                <w:sz w:val="18"/>
                <w:szCs w:val="18"/>
              </w:rPr>
              <w:t>EIN_Auszug</w:t>
            </w:r>
            <w:proofErr w:type="spellEnd"/>
            <w:r w:rsidRPr="00576705">
              <w:rPr>
                <w:i/>
                <w:color w:val="000000" w:themeColor="text1"/>
                <w:sz w:val="18"/>
                <w:szCs w:val="18"/>
              </w:rPr>
              <w:t xml:space="preserve"> Haben Wörter Augen …,</w:t>
            </w:r>
            <w:r w:rsidRPr="00576705">
              <w:rPr>
                <w:color w:val="000000" w:themeColor="text1"/>
                <w:sz w:val="18"/>
                <w:szCs w:val="18"/>
              </w:rPr>
              <w:t xml:space="preserve"> Tabelle </w:t>
            </w:r>
            <w:r w:rsidR="006D177A" w:rsidRPr="00576705">
              <w:rPr>
                <w:color w:val="000000" w:themeColor="text1"/>
                <w:sz w:val="18"/>
                <w:szCs w:val="18"/>
              </w:rPr>
              <w:t xml:space="preserve">1 und </w:t>
            </w:r>
            <w:r w:rsidRPr="00576705">
              <w:rPr>
                <w:color w:val="000000" w:themeColor="text1"/>
                <w:sz w:val="18"/>
                <w:szCs w:val="18"/>
              </w:rPr>
              <w:t>2).</w:t>
            </w:r>
          </w:p>
          <w:p w14:paraId="328E2344" w14:textId="64A06B11" w:rsidR="00FE2F84" w:rsidRPr="008F6CEF" w:rsidRDefault="00FE2F84" w:rsidP="001F7FC0">
            <w:pPr>
              <w:pStyle w:val="Listenabsatz"/>
              <w:numPr>
                <w:ilvl w:val="0"/>
                <w:numId w:val="8"/>
              </w:numPr>
              <w:ind w:left="312" w:hanging="312"/>
              <w:rPr>
                <w:color w:val="000000" w:themeColor="text1"/>
                <w:sz w:val="18"/>
                <w:szCs w:val="18"/>
              </w:rPr>
            </w:pPr>
            <w:r w:rsidRPr="00576705">
              <w:rPr>
                <w:color w:val="000000" w:themeColor="text1"/>
                <w:sz w:val="18"/>
                <w:szCs w:val="18"/>
              </w:rPr>
              <w:t>«</w:t>
            </w:r>
            <w:r w:rsidR="001E2D60" w:rsidRPr="00576705">
              <w:rPr>
                <w:color w:val="000000" w:themeColor="text1"/>
                <w:sz w:val="18"/>
                <w:szCs w:val="18"/>
              </w:rPr>
              <w:t>Wir sortieren/ordnen/gruppieren die Zeichnungen. Welche Zeichnungen sind ähnlich/gehören zusammen? Warum sind die Zeichnungen ähnlich/gehören zusammen?</w:t>
            </w:r>
            <w:r w:rsidRPr="00576705">
              <w:rPr>
                <w:color w:val="000000" w:themeColor="text1"/>
                <w:sz w:val="18"/>
                <w:szCs w:val="18"/>
              </w:rPr>
              <w:t>»</w:t>
            </w:r>
            <w:r w:rsidR="001E2D60" w:rsidRPr="00576705">
              <w:rPr>
                <w:color w:val="000000" w:themeColor="text1"/>
                <w:sz w:val="18"/>
                <w:szCs w:val="18"/>
              </w:rPr>
              <w:br/>
              <w:t>«Sachen, die ähnlich sind kommen zu der gleichen Kategorie/Gruppe. Wie können wir diese Gruppe/Kategorie nennen? Wie könnte diese Gruppe/Kategorie heissen? … Das nennt man Oberbegriff. Oberbegriff ist ein Wort, das beschreibt, was alles zusammengehört, weil es ähnlich ist.»</w:t>
            </w:r>
            <w:r w:rsidR="001E2D60" w:rsidRPr="00576705">
              <w:rPr>
                <w:color w:val="000000" w:themeColor="text1"/>
                <w:sz w:val="18"/>
                <w:szCs w:val="18"/>
              </w:rPr>
              <w:br/>
              <w:t>«Die Zeichnungen können auch anders sortiert/geordnet</w:t>
            </w:r>
            <w:r w:rsidR="0057532E" w:rsidRPr="00576705">
              <w:rPr>
                <w:color w:val="000000" w:themeColor="text1"/>
                <w:sz w:val="18"/>
                <w:szCs w:val="18"/>
              </w:rPr>
              <w:t xml:space="preserve"> werden.»</w:t>
            </w:r>
            <w:r w:rsidRPr="00576705">
              <w:rPr>
                <w:color w:val="000000" w:themeColor="text1"/>
                <w:sz w:val="18"/>
                <w:szCs w:val="18"/>
              </w:rPr>
              <w:br/>
            </w:r>
            <w:r w:rsidR="0057532E" w:rsidRPr="00576705">
              <w:rPr>
                <w:color w:val="000000" w:themeColor="text1"/>
                <w:sz w:val="18"/>
                <w:szCs w:val="18"/>
              </w:rPr>
              <w:t xml:space="preserve">Ich nutze </w:t>
            </w:r>
            <w:r w:rsidR="0057532E" w:rsidRPr="00576705">
              <w:rPr>
                <w:b/>
                <w:bCs/>
                <w:color w:val="000000" w:themeColor="text1"/>
                <w:sz w:val="18"/>
                <w:szCs w:val="18"/>
              </w:rPr>
              <w:t>W-Fragen</w:t>
            </w:r>
            <w:r w:rsidR="0057532E" w:rsidRPr="00576705">
              <w:rPr>
                <w:color w:val="000000" w:themeColor="text1"/>
                <w:sz w:val="18"/>
                <w:szCs w:val="18"/>
              </w:rPr>
              <w:t>, um Zusammenhänge herzustellen und damit die SuS ihre Zuordnungen begründen</w:t>
            </w:r>
            <w:r w:rsidRPr="00576705">
              <w:rPr>
                <w:color w:val="000000" w:themeColor="text1"/>
                <w:sz w:val="18"/>
                <w:szCs w:val="18"/>
              </w:rPr>
              <w:t xml:space="preserve"> (vgl. Download </w:t>
            </w:r>
            <w:proofErr w:type="spellStart"/>
            <w:r w:rsidRPr="00576705">
              <w:rPr>
                <w:i/>
                <w:color w:val="000000" w:themeColor="text1"/>
                <w:sz w:val="18"/>
                <w:szCs w:val="18"/>
              </w:rPr>
              <w:t>EIN_Auszug</w:t>
            </w:r>
            <w:proofErr w:type="spellEnd"/>
            <w:r w:rsidRPr="00576705">
              <w:rPr>
                <w:i/>
                <w:color w:val="000000" w:themeColor="text1"/>
                <w:sz w:val="18"/>
                <w:szCs w:val="18"/>
              </w:rPr>
              <w:t xml:space="preserve"> Haben Wörter Augen …</w:t>
            </w:r>
            <w:r w:rsidRPr="00576705">
              <w:rPr>
                <w:color w:val="000000" w:themeColor="text1"/>
                <w:sz w:val="18"/>
                <w:szCs w:val="18"/>
              </w:rPr>
              <w:t xml:space="preserve">, Tabelle </w:t>
            </w:r>
            <w:r w:rsidR="0057532E" w:rsidRPr="00576705">
              <w:rPr>
                <w:color w:val="000000" w:themeColor="text1"/>
                <w:sz w:val="18"/>
                <w:szCs w:val="18"/>
              </w:rPr>
              <w:t>3</w:t>
            </w:r>
            <w:r w:rsidRPr="00576705">
              <w:rPr>
                <w:color w:val="000000" w:themeColor="text1"/>
                <w:sz w:val="18"/>
                <w:szCs w:val="18"/>
              </w:rPr>
              <w:t>).</w:t>
            </w:r>
          </w:p>
        </w:tc>
      </w:tr>
      <w:tr w:rsidR="00FE2F84" w:rsidRPr="007F56D3" w14:paraId="48553FEF" w14:textId="77777777" w:rsidTr="001F7FC0">
        <w:trPr>
          <w:trHeight w:val="704"/>
        </w:trPr>
        <w:tc>
          <w:tcPr>
            <w:tcW w:w="9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C3C64" w14:textId="77777777" w:rsidR="00FE2F84" w:rsidRDefault="00FE2F84" w:rsidP="001F7FC0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5C5307">
              <w:rPr>
                <w:rFonts w:ascii="Arial" w:hAnsi="Arial" w:cs="Arial"/>
                <w:sz w:val="16"/>
                <w:szCs w:val="16"/>
              </w:rPr>
              <w:t>orientiert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sich u.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F56D3">
              <w:rPr>
                <w:rFonts w:ascii="Arial" w:hAnsi="Arial" w:cs="Arial"/>
                <w:sz w:val="16"/>
                <w:szCs w:val="16"/>
              </w:rPr>
              <w:t>a. an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3E57956" w14:textId="77777777" w:rsidR="00FE2F84" w:rsidRDefault="00FE2F84" w:rsidP="001F7FC0">
            <w:pPr>
              <w:pStyle w:val="Fuzeile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C5307">
              <w:rPr>
                <w:rFonts w:ascii="Arial" w:hAnsi="Arial" w:cs="Arial"/>
                <w:sz w:val="16"/>
                <w:szCs w:val="16"/>
              </w:rPr>
              <w:t>Tajmel</w:t>
            </w:r>
            <w:proofErr w:type="spellEnd"/>
            <w:r w:rsidRPr="007F56D3">
              <w:rPr>
                <w:rFonts w:ascii="Arial" w:hAnsi="Arial" w:cs="Arial"/>
                <w:sz w:val="16"/>
                <w:szCs w:val="16"/>
              </w:rPr>
              <w:t>, T</w:t>
            </w:r>
            <w:r>
              <w:rPr>
                <w:rFonts w:ascii="Arial" w:hAnsi="Arial" w:cs="Arial"/>
                <w:sz w:val="16"/>
                <w:szCs w:val="16"/>
              </w:rPr>
              <w:t>., &amp;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5307">
              <w:rPr>
                <w:rFonts w:ascii="Arial" w:hAnsi="Arial" w:cs="Arial"/>
                <w:sz w:val="16"/>
                <w:szCs w:val="16"/>
              </w:rPr>
              <w:t>Hägi</w:t>
            </w:r>
            <w:proofErr w:type="spellEnd"/>
            <w:r w:rsidRPr="005C5307">
              <w:rPr>
                <w:rFonts w:ascii="Arial" w:hAnsi="Arial" w:cs="Arial"/>
                <w:sz w:val="16"/>
                <w:szCs w:val="16"/>
              </w:rPr>
              <w:t>-Mead</w:t>
            </w:r>
            <w:r w:rsidRPr="007F56D3">
              <w:rPr>
                <w:rFonts w:ascii="Arial" w:hAnsi="Arial" w:cs="Arial"/>
                <w:sz w:val="16"/>
                <w:szCs w:val="16"/>
              </w:rPr>
              <w:t>, 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(2017)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34D5">
              <w:rPr>
                <w:rFonts w:ascii="Arial" w:hAnsi="Arial" w:cs="Arial"/>
                <w:i/>
                <w:sz w:val="16"/>
                <w:szCs w:val="16"/>
              </w:rPr>
              <w:t>Sprachbewusste Unterrichtsplanung. Prinzipien, Methoden und Beispiele für die Umsetzung.</w:t>
            </w:r>
          </w:p>
          <w:p w14:paraId="656C83C6" w14:textId="77777777" w:rsidR="00FE2F84" w:rsidRDefault="00FE2F84" w:rsidP="001F7FC0">
            <w:pPr>
              <w:pStyle w:val="Fuzeile"/>
              <w:ind w:left="171"/>
              <w:rPr>
                <w:rFonts w:ascii="Arial" w:hAnsi="Arial" w:cs="Arial"/>
                <w:sz w:val="16"/>
                <w:szCs w:val="16"/>
              </w:rPr>
            </w:pPr>
            <w:r w:rsidRPr="007F56D3">
              <w:rPr>
                <w:rFonts w:ascii="Arial" w:hAnsi="Arial" w:cs="Arial"/>
                <w:sz w:val="16"/>
                <w:szCs w:val="16"/>
              </w:rPr>
              <w:t xml:space="preserve">Münster, New York: </w:t>
            </w:r>
            <w:r w:rsidRPr="005C5307">
              <w:rPr>
                <w:rFonts w:ascii="Arial" w:hAnsi="Arial" w:cs="Arial"/>
                <w:sz w:val="16"/>
                <w:szCs w:val="16"/>
              </w:rPr>
              <w:t>Waxmann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F08313A" w14:textId="77777777" w:rsidR="00FE2F84" w:rsidRPr="007F56D3" w:rsidRDefault="00FE2F84" w:rsidP="001F7FC0">
            <w:pPr>
              <w:pStyle w:val="Fuzeile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5C5307">
              <w:rPr>
                <w:rFonts w:ascii="Arial" w:hAnsi="Arial" w:cs="Arial"/>
                <w:sz w:val="16"/>
                <w:szCs w:val="16"/>
              </w:rPr>
              <w:t>Reber</w:t>
            </w:r>
            <w:r w:rsidRPr="007F56D3">
              <w:rPr>
                <w:rFonts w:ascii="Arial" w:hAnsi="Arial" w:cs="Arial"/>
                <w:sz w:val="16"/>
                <w:szCs w:val="16"/>
              </w:rPr>
              <w:t>, K.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&amp; Schönauer-Schneider, W. (2017). </w:t>
            </w:r>
            <w:r w:rsidRPr="007934ED">
              <w:rPr>
                <w:rFonts w:ascii="Arial" w:hAnsi="Arial" w:cs="Arial"/>
                <w:i/>
                <w:sz w:val="16"/>
                <w:szCs w:val="16"/>
              </w:rPr>
              <w:t>Sprachförderung im inklusiven Unterricht. Praxistipps für Lehrkräfte (Inklusiver Unterricht kompakt).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München, Basel: Ernst Reinhardt Verlag.</w:t>
            </w:r>
          </w:p>
        </w:tc>
      </w:tr>
    </w:tbl>
    <w:p w14:paraId="098280B4" w14:textId="77777777" w:rsidR="00FE2F84" w:rsidRDefault="00FE2F84" w:rsidP="00FE2F84">
      <w:pPr>
        <w:rPr>
          <w:rFonts w:ascii="Frutiger LT Std 45 Light" w:hAnsi="Frutiger LT Std 45 Light"/>
          <w:sz w:val="18"/>
          <w:szCs w:val="18"/>
        </w:rPr>
      </w:pPr>
    </w:p>
    <w:p w14:paraId="6ABC80BF" w14:textId="77777777" w:rsidR="001E2D60" w:rsidRPr="001E2D60" w:rsidRDefault="001E2D60" w:rsidP="001E2D60">
      <w:pPr>
        <w:rPr>
          <w:rFonts w:ascii="Frutiger LT Std 45 Light" w:hAnsi="Frutiger LT Std 45 Light"/>
          <w:sz w:val="18"/>
          <w:szCs w:val="18"/>
        </w:rPr>
      </w:pPr>
    </w:p>
    <w:sectPr w:rsidR="001E2D60" w:rsidRPr="001E2D60" w:rsidSect="0039164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119" w:right="1134" w:bottom="2552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0664" w14:textId="77777777" w:rsidR="00DE1642" w:rsidRDefault="00DE1642" w:rsidP="008E42F7">
      <w:r>
        <w:separator/>
      </w:r>
    </w:p>
  </w:endnote>
  <w:endnote w:type="continuationSeparator" w:id="0">
    <w:p w14:paraId="00FD8CC4" w14:textId="77777777" w:rsidR="00DE1642" w:rsidRDefault="00DE1642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C717" w14:textId="72171579" w:rsidR="00AE20AC" w:rsidRPr="00A61995" w:rsidRDefault="00A61995" w:rsidP="00A61995">
    <w:pPr>
      <w:autoSpaceDE w:val="0"/>
      <w:autoSpaceDN w:val="0"/>
      <w:adjustRightInd w:val="0"/>
      <w:rPr>
        <w:rFonts w:ascii="FrutigerLTStd-Light" w:hAnsi="FrutigerLTStd-Light" w:cs="Arial"/>
        <w:color w:val="000000"/>
        <w:sz w:val="16"/>
        <w:szCs w:val="16"/>
      </w:rPr>
    </w:pPr>
    <w:r w:rsidRPr="00F110C6">
      <w:rPr>
        <w:rFonts w:ascii="FrutigerLTStd-Light" w:eastAsia="+mn-ea" w:hAnsi="FrutigerLTStd-Light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5408" behindDoc="1" locked="0" layoutInCell="1" allowOverlap="1" wp14:anchorId="76473038" wp14:editId="2411CDA8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59" name="Grafik 25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0C6">
      <w:rPr>
        <w:rFonts w:ascii="FrutigerLTStd-Light" w:eastAsia="+mn-ea" w:hAnsi="FrutigerLTStd-Light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6432" behindDoc="1" locked="0" layoutInCell="1" allowOverlap="1" wp14:anchorId="5A0B5C81" wp14:editId="00E89CBB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60" name="Grafik 260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0C6">
      <w:rPr>
        <w:rFonts w:ascii="FrutigerLTStd-Light" w:eastAsia="+mn-ea" w:hAnsi="FrutigerLTStd-Light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7456" behindDoc="1" locked="0" layoutInCell="1" allowOverlap="1" wp14:anchorId="76D15991" wp14:editId="58661340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61" name="Grafik 261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0C6">
      <w:rPr>
        <w:rFonts w:ascii="FrutigerLTStd-Light" w:hAnsi="FrutigerLTStd-Light" w:cs="Arial"/>
        <w:color w:val="222222"/>
        <w:sz w:val="16"/>
        <w:szCs w:val="16"/>
      </w:rPr>
      <w:t>© 202</w:t>
    </w:r>
    <w:r>
      <w:rPr>
        <w:rFonts w:ascii="FrutigerLTStd-Light" w:hAnsi="FrutigerLTStd-Light" w:cs="Arial"/>
        <w:color w:val="222222"/>
        <w:sz w:val="16"/>
        <w:szCs w:val="16"/>
      </w:rPr>
      <w:t>4</w:t>
    </w:r>
    <w:r w:rsidRPr="00F110C6">
      <w:rPr>
        <w:rFonts w:ascii="FrutigerLTStd-Light" w:hAnsi="FrutigerLTStd-Light" w:cs="Arial"/>
        <w:color w:val="222222"/>
        <w:sz w:val="16"/>
        <w:szCs w:val="16"/>
      </w:rPr>
      <w:t xml:space="preserve"> Schulverlag plus AG| Bestandteil von Artikel </w:t>
    </w:r>
    <w:r>
      <w:rPr>
        <w:rFonts w:ascii="FrutigerLTStd-Light" w:hAnsi="FrutigerLTStd-Light" w:cs="Arial"/>
        <w:color w:val="222222"/>
        <w:sz w:val="16"/>
        <w:szCs w:val="16"/>
      </w:rPr>
      <w:t>90613</w:t>
    </w:r>
    <w:r w:rsidRPr="00F110C6">
      <w:rPr>
        <w:rFonts w:ascii="FrutigerLTStd-Light" w:hAnsi="FrutigerLTStd-Light" w:cs="Arial"/>
        <w:color w:val="222222"/>
        <w:sz w:val="16"/>
        <w:szCs w:val="16"/>
      </w:rPr>
      <w:t xml:space="preserve"> Dossier Weitblick NMG 0</w:t>
    </w:r>
    <w:r>
      <w:rPr>
        <w:rFonts w:ascii="FrutigerLTStd-Light" w:hAnsi="FrutigerLTStd-Light" w:cs="Arial"/>
        <w:color w:val="222222"/>
        <w:sz w:val="16"/>
        <w:szCs w:val="16"/>
      </w:rPr>
      <w:t>1</w:t>
    </w:r>
    <w:r w:rsidRPr="00F110C6">
      <w:rPr>
        <w:rFonts w:ascii="FrutigerLTStd-Light" w:hAnsi="FrutigerLTStd-Light" w:cs="Arial"/>
        <w:color w:val="222222"/>
        <w:sz w:val="16"/>
        <w:szCs w:val="16"/>
      </w:rPr>
      <w:t>/202</w:t>
    </w:r>
    <w:r>
      <w:rPr>
        <w:rFonts w:ascii="FrutigerLTStd-Light" w:hAnsi="FrutigerLTStd-Light" w:cs="Arial"/>
        <w:color w:val="222222"/>
        <w:sz w:val="16"/>
        <w:szCs w:val="16"/>
      </w:rPr>
      <w:t>4</w:t>
    </w:r>
    <w:r w:rsidRPr="00F110C6">
      <w:rPr>
        <w:rFonts w:ascii="FrutigerLTStd-Light" w:hAnsi="FrutigerLTStd-Light" w:cs="Arial"/>
        <w:color w:val="222222"/>
        <w:sz w:val="16"/>
        <w:szCs w:val="16"/>
      </w:rPr>
      <w:t xml:space="preserve"> </w:t>
    </w:r>
    <w:r w:rsidRPr="00F110C6">
      <w:rPr>
        <w:rFonts w:ascii="FrutigerLTStd-Light" w:hAnsi="FrutigerLTStd-Light" w:cs="Arial"/>
        <w:color w:val="000000"/>
        <w:sz w:val="16"/>
        <w:szCs w:val="16"/>
      </w:rPr>
      <w:t xml:space="preserve">– </w:t>
    </w:r>
    <w:r w:rsidRPr="002F7485">
      <w:rPr>
        <w:rFonts w:ascii="FrutigerLTStd-Light" w:hAnsi="FrutigerLTStd-Light" w:cs="Arial"/>
        <w:color w:val="000000"/>
        <w:sz w:val="16"/>
        <w:szCs w:val="16"/>
      </w:rPr>
      <w:t>HIMMELSPHÄNOMENE</w:t>
    </w:r>
    <w:r>
      <w:rPr>
        <w:rFonts w:ascii="FrutigerLTStd-Light" w:hAnsi="FrutigerLTStd-Light" w:cs="Arial"/>
        <w:color w:val="000000"/>
        <w:sz w:val="16"/>
        <w:szCs w:val="16"/>
      </w:rPr>
      <w:br/>
    </w:r>
    <w:r w:rsidRPr="00825F4C">
      <w:rPr>
        <w:rFonts w:ascii="FrutigerLTStd-Light" w:hAnsi="FrutigerLTStd-Light" w:cs="Arial"/>
        <w:color w:val="222222"/>
        <w:sz w:val="14"/>
        <w:szCs w:val="14"/>
      </w:rPr>
      <w:t>Der Verlag übernimmt die inhaltliche und rechtliche Verantwortung für das Originaldokument, nicht aber für individuelle Anpassungen.</w:t>
    </w:r>
    <w:r w:rsidRPr="00825F4C">
      <w:rPr>
        <w:rFonts w:ascii="FrutigerLTStd-Light" w:hAnsi="FrutigerLTStd-Light"/>
        <w:noProof/>
        <w:sz w:val="14"/>
        <w:szCs w:val="14"/>
      </w:rPr>
      <w:t xml:space="preserve"> </w:t>
    </w:r>
    <w:r>
      <w:rPr>
        <w:rFonts w:ascii="FrutigerLTStd-Light" w:hAnsi="FrutigerLTStd-Light"/>
        <w:noProof/>
        <w:sz w:val="14"/>
        <w:szCs w:val="14"/>
      </w:rPr>
      <w:br/>
    </w:r>
    <w:r w:rsidRPr="00825F4C">
      <w:rPr>
        <w:rFonts w:ascii="FrutigerLTStd-Light" w:hAnsi="FrutigerLTStd-Light" w:cs="Arial"/>
        <w:color w:val="222222"/>
        <w:sz w:val="14"/>
        <w:szCs w:val="14"/>
      </w:rPr>
      <w:t>CC BY-NC-SA 3.0 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3DFB" w14:textId="77777777" w:rsidR="00456622" w:rsidRDefault="005E0542" w:rsidP="00456622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0288" behindDoc="1" locked="0" layoutInCell="1" allowOverlap="1" wp14:anchorId="25509D61" wp14:editId="20B2523B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63" name="Grafik 263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2336" behindDoc="1" locked="0" layoutInCell="1" allowOverlap="1" wp14:anchorId="7409598D" wp14:editId="25BD784D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64" name="Grafik 26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3360" behindDoc="1" locked="0" layoutInCell="1" allowOverlap="1" wp14:anchorId="70BCE209" wp14:editId="193858BA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65" name="Grafik 265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>
      <w:rPr>
        <w:rFonts w:ascii="Arial" w:hAnsi="Arial" w:cs="Arial"/>
        <w:color w:val="222222"/>
        <w:sz w:val="16"/>
        <w:szCs w:val="16"/>
      </w:rPr>
      <w:t xml:space="preserve">© 2023 Schulverlag plus AG| Bestandteil von Artikel 90379 Dossier Weitblick NMG 01/2023 </w:t>
    </w:r>
    <w:r w:rsidR="00456622" w:rsidRPr="00AE20AC">
      <w:rPr>
        <w:rFonts w:ascii="Arial" w:hAnsi="Arial" w:cs="Arial"/>
        <w:color w:val="000000"/>
        <w:sz w:val="16"/>
        <w:szCs w:val="16"/>
      </w:rPr>
      <w:t>–</w:t>
    </w:r>
    <w:r w:rsidR="00456622">
      <w:rPr>
        <w:rFonts w:ascii="Arial" w:hAnsi="Arial" w:cs="Arial"/>
        <w:color w:val="000000"/>
        <w:sz w:val="16"/>
        <w:szCs w:val="16"/>
      </w:rPr>
      <w:t xml:space="preserve"> GLITSCHIG LAUT</w:t>
    </w:r>
  </w:p>
  <w:p w14:paraId="0F12B96D" w14:textId="77777777" w:rsidR="00456622" w:rsidRPr="00AE20AC" w:rsidRDefault="00456622" w:rsidP="00456622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5C604C29" w14:textId="77777777" w:rsidR="005E0542" w:rsidRPr="00456622" w:rsidRDefault="00456622" w:rsidP="00456622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 xml:space="preserve">CC </w:t>
    </w:r>
    <w:r w:rsidRPr="005C5307">
      <w:rPr>
        <w:rFonts w:ascii="Arial" w:hAnsi="Arial" w:cs="Arial"/>
        <w:color w:val="222222"/>
        <w:szCs w:val="14"/>
      </w:rPr>
      <w:t>BY-NC-SA</w:t>
    </w:r>
    <w:r w:rsidRPr="00AE20AC">
      <w:rPr>
        <w:rFonts w:ascii="Arial" w:hAnsi="Arial" w:cs="Arial"/>
        <w:color w:val="222222"/>
        <w:szCs w:val="14"/>
      </w:rPr>
      <w:t xml:space="preserve">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4C36" w14:textId="77777777" w:rsidR="00DE1642" w:rsidRDefault="00DE1642" w:rsidP="008E42F7">
      <w:r>
        <w:separator/>
      </w:r>
    </w:p>
  </w:footnote>
  <w:footnote w:type="continuationSeparator" w:id="0">
    <w:p w14:paraId="02846686" w14:textId="77777777" w:rsidR="00DE1642" w:rsidRDefault="00DE1642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074F" w14:textId="491C938B" w:rsidR="009B4246" w:rsidRDefault="004616CC" w:rsidP="00EF4B93">
    <w:pPr>
      <w:pStyle w:val="Kopfzeile"/>
      <w:jc w:val="right"/>
    </w:pPr>
    <w:r w:rsidRPr="00DF56D8">
      <w:rPr>
        <w:noProof/>
      </w:rPr>
      <w:drawing>
        <wp:inline distT="0" distB="0" distL="0" distR="0" wp14:anchorId="68550B98" wp14:editId="21AAA6BB">
          <wp:extent cx="2034000" cy="1260000"/>
          <wp:effectExtent l="0" t="0" r="4445" b="0"/>
          <wp:docPr id="258" name="Grafik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9242" w14:textId="77777777" w:rsidR="00EA216E" w:rsidRDefault="00EA216E" w:rsidP="00EA216E">
    <w:pPr>
      <w:ind w:left="6379" w:right="1" w:hanging="992"/>
    </w:pPr>
  </w:p>
  <w:p w14:paraId="7391AA84" w14:textId="77777777" w:rsidR="00F35EC3" w:rsidRPr="00ED22BC" w:rsidRDefault="00DF56D8" w:rsidP="00ED22BC">
    <w:pPr>
      <w:ind w:left="7513" w:right="1" w:hanging="992"/>
    </w:pPr>
    <w:r w:rsidRPr="00DF56D8">
      <w:rPr>
        <w:noProof/>
      </w:rPr>
      <w:drawing>
        <wp:inline distT="0" distB="0" distL="0" distR="0" wp14:anchorId="0067A28C" wp14:editId="22D37588">
          <wp:extent cx="2034025" cy="1258963"/>
          <wp:effectExtent l="0" t="0" r="4445" b="0"/>
          <wp:docPr id="262" name="Grafik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5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77A5"/>
    <w:multiLevelType w:val="hybridMultilevel"/>
    <w:tmpl w:val="EF10DC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226"/>
    <w:multiLevelType w:val="hybridMultilevel"/>
    <w:tmpl w:val="D0DAE56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A0857"/>
    <w:multiLevelType w:val="hybridMultilevel"/>
    <w:tmpl w:val="377291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27F3"/>
    <w:multiLevelType w:val="hybridMultilevel"/>
    <w:tmpl w:val="B2C84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5548"/>
    <w:multiLevelType w:val="hybridMultilevel"/>
    <w:tmpl w:val="D58038F8"/>
    <w:lvl w:ilvl="0" w:tplc="C0AAC1B6">
      <w:start w:val="1"/>
      <w:numFmt w:val="bullet"/>
      <w:lvlText w:val="-"/>
      <w:lvlJc w:val="left"/>
      <w:pPr>
        <w:ind w:left="720" w:hanging="360"/>
      </w:pPr>
      <w:rPr>
        <w:rFonts w:ascii="Frutiger LT Std 45 Light" w:eastAsiaTheme="minorEastAsia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D13DE"/>
    <w:multiLevelType w:val="hybridMultilevel"/>
    <w:tmpl w:val="B43CD1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77443"/>
    <w:multiLevelType w:val="hybridMultilevel"/>
    <w:tmpl w:val="3D02C678"/>
    <w:lvl w:ilvl="0" w:tplc="9C6C7788">
      <w:start w:val="1"/>
      <w:numFmt w:val="bullet"/>
      <w:lvlText w:val="-"/>
      <w:lvlJc w:val="left"/>
      <w:pPr>
        <w:ind w:left="720" w:hanging="360"/>
      </w:pPr>
      <w:rPr>
        <w:rFonts w:ascii="Frutiger LT Std 45 Light" w:eastAsiaTheme="minorEastAsia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C3955"/>
    <w:multiLevelType w:val="hybridMultilevel"/>
    <w:tmpl w:val="5D3E92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F1315"/>
    <w:multiLevelType w:val="hybridMultilevel"/>
    <w:tmpl w:val="A246FA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84"/>
    <w:rsid w:val="00012BF1"/>
    <w:rsid w:val="0003753D"/>
    <w:rsid w:val="0007360F"/>
    <w:rsid w:val="00084341"/>
    <w:rsid w:val="00092AEC"/>
    <w:rsid w:val="00093E30"/>
    <w:rsid w:val="000A2BF3"/>
    <w:rsid w:val="000B3F90"/>
    <w:rsid w:val="000C0D44"/>
    <w:rsid w:val="000D172B"/>
    <w:rsid w:val="00101FE8"/>
    <w:rsid w:val="0011273A"/>
    <w:rsid w:val="00122B6B"/>
    <w:rsid w:val="00132140"/>
    <w:rsid w:val="001328CB"/>
    <w:rsid w:val="00132CA6"/>
    <w:rsid w:val="00137B26"/>
    <w:rsid w:val="00183A32"/>
    <w:rsid w:val="001979DC"/>
    <w:rsid w:val="001D154A"/>
    <w:rsid w:val="001E2D60"/>
    <w:rsid w:val="001F2AF0"/>
    <w:rsid w:val="001F321D"/>
    <w:rsid w:val="002279DF"/>
    <w:rsid w:val="0025369E"/>
    <w:rsid w:val="002667DF"/>
    <w:rsid w:val="00285829"/>
    <w:rsid w:val="00286B50"/>
    <w:rsid w:val="002B079B"/>
    <w:rsid w:val="002F2D2B"/>
    <w:rsid w:val="00305E79"/>
    <w:rsid w:val="003241F9"/>
    <w:rsid w:val="00325F56"/>
    <w:rsid w:val="00352222"/>
    <w:rsid w:val="00376145"/>
    <w:rsid w:val="00383345"/>
    <w:rsid w:val="0039164D"/>
    <w:rsid w:val="003B604F"/>
    <w:rsid w:val="003C5665"/>
    <w:rsid w:val="0040560A"/>
    <w:rsid w:val="00412C05"/>
    <w:rsid w:val="0041770B"/>
    <w:rsid w:val="00420BF6"/>
    <w:rsid w:val="00456622"/>
    <w:rsid w:val="004616CC"/>
    <w:rsid w:val="00465868"/>
    <w:rsid w:val="004B5B93"/>
    <w:rsid w:val="004D598E"/>
    <w:rsid w:val="005340CE"/>
    <w:rsid w:val="00545950"/>
    <w:rsid w:val="00554B7A"/>
    <w:rsid w:val="0057532E"/>
    <w:rsid w:val="00576705"/>
    <w:rsid w:val="00580182"/>
    <w:rsid w:val="005A198F"/>
    <w:rsid w:val="005A7994"/>
    <w:rsid w:val="005B6E1C"/>
    <w:rsid w:val="005C4F03"/>
    <w:rsid w:val="005C5307"/>
    <w:rsid w:val="005D02B8"/>
    <w:rsid w:val="005D3BDC"/>
    <w:rsid w:val="005E0542"/>
    <w:rsid w:val="005E079C"/>
    <w:rsid w:val="005E360C"/>
    <w:rsid w:val="00610D41"/>
    <w:rsid w:val="006359D5"/>
    <w:rsid w:val="00644058"/>
    <w:rsid w:val="00653821"/>
    <w:rsid w:val="00694E72"/>
    <w:rsid w:val="006A521E"/>
    <w:rsid w:val="006D14F9"/>
    <w:rsid w:val="006D177A"/>
    <w:rsid w:val="006F346E"/>
    <w:rsid w:val="006F44D1"/>
    <w:rsid w:val="007062BD"/>
    <w:rsid w:val="007533AC"/>
    <w:rsid w:val="0075533C"/>
    <w:rsid w:val="0079249F"/>
    <w:rsid w:val="007943EA"/>
    <w:rsid w:val="007A0088"/>
    <w:rsid w:val="007E7CE0"/>
    <w:rsid w:val="00803922"/>
    <w:rsid w:val="00824853"/>
    <w:rsid w:val="00835CE6"/>
    <w:rsid w:val="0086015F"/>
    <w:rsid w:val="0088544E"/>
    <w:rsid w:val="00892F80"/>
    <w:rsid w:val="008D706B"/>
    <w:rsid w:val="008E2A85"/>
    <w:rsid w:val="008E42F7"/>
    <w:rsid w:val="008F0B1B"/>
    <w:rsid w:val="00905FCC"/>
    <w:rsid w:val="00912212"/>
    <w:rsid w:val="00913FF9"/>
    <w:rsid w:val="009145E9"/>
    <w:rsid w:val="00963190"/>
    <w:rsid w:val="009B3327"/>
    <w:rsid w:val="009B4246"/>
    <w:rsid w:val="009C16CC"/>
    <w:rsid w:val="009C7F27"/>
    <w:rsid w:val="00A04D8F"/>
    <w:rsid w:val="00A22EE7"/>
    <w:rsid w:val="00A41795"/>
    <w:rsid w:val="00A61995"/>
    <w:rsid w:val="00A97DE7"/>
    <w:rsid w:val="00AB761D"/>
    <w:rsid w:val="00AC24B4"/>
    <w:rsid w:val="00AE20AC"/>
    <w:rsid w:val="00AF0C73"/>
    <w:rsid w:val="00AF3F33"/>
    <w:rsid w:val="00AF5F1C"/>
    <w:rsid w:val="00AF6834"/>
    <w:rsid w:val="00B00DA4"/>
    <w:rsid w:val="00B3314F"/>
    <w:rsid w:val="00B355EC"/>
    <w:rsid w:val="00B37703"/>
    <w:rsid w:val="00B41495"/>
    <w:rsid w:val="00B4417B"/>
    <w:rsid w:val="00B63535"/>
    <w:rsid w:val="00B717D0"/>
    <w:rsid w:val="00BA3446"/>
    <w:rsid w:val="00BA4AEA"/>
    <w:rsid w:val="00BB4959"/>
    <w:rsid w:val="00BC3807"/>
    <w:rsid w:val="00BE4786"/>
    <w:rsid w:val="00BF1817"/>
    <w:rsid w:val="00BF7CD5"/>
    <w:rsid w:val="00C0018C"/>
    <w:rsid w:val="00C02B4C"/>
    <w:rsid w:val="00C064C4"/>
    <w:rsid w:val="00C12CDC"/>
    <w:rsid w:val="00C222F2"/>
    <w:rsid w:val="00C25E1A"/>
    <w:rsid w:val="00C7317D"/>
    <w:rsid w:val="00C7420B"/>
    <w:rsid w:val="00C751B3"/>
    <w:rsid w:val="00C754B4"/>
    <w:rsid w:val="00C75972"/>
    <w:rsid w:val="00CB70EC"/>
    <w:rsid w:val="00CF7B3B"/>
    <w:rsid w:val="00D227B0"/>
    <w:rsid w:val="00D850EF"/>
    <w:rsid w:val="00D91BAB"/>
    <w:rsid w:val="00DB6D96"/>
    <w:rsid w:val="00DC5258"/>
    <w:rsid w:val="00DE112F"/>
    <w:rsid w:val="00DE148E"/>
    <w:rsid w:val="00DE1642"/>
    <w:rsid w:val="00DF5224"/>
    <w:rsid w:val="00DF56D8"/>
    <w:rsid w:val="00E038FF"/>
    <w:rsid w:val="00E14F8B"/>
    <w:rsid w:val="00E24339"/>
    <w:rsid w:val="00E36D1D"/>
    <w:rsid w:val="00E43786"/>
    <w:rsid w:val="00E54E4C"/>
    <w:rsid w:val="00E7476F"/>
    <w:rsid w:val="00E93437"/>
    <w:rsid w:val="00EA06AF"/>
    <w:rsid w:val="00EA216E"/>
    <w:rsid w:val="00EA3331"/>
    <w:rsid w:val="00ED13DE"/>
    <w:rsid w:val="00ED22BC"/>
    <w:rsid w:val="00EE13AB"/>
    <w:rsid w:val="00EF4B93"/>
    <w:rsid w:val="00F14D9C"/>
    <w:rsid w:val="00F35060"/>
    <w:rsid w:val="00F35EC3"/>
    <w:rsid w:val="00F46C81"/>
    <w:rsid w:val="00F60CA8"/>
    <w:rsid w:val="00F736E6"/>
    <w:rsid w:val="00F740A1"/>
    <w:rsid w:val="00F847F1"/>
    <w:rsid w:val="00F879B8"/>
    <w:rsid w:val="00F96807"/>
    <w:rsid w:val="00FD32E2"/>
    <w:rsid w:val="00FD7DAB"/>
    <w:rsid w:val="00FE2F84"/>
    <w:rsid w:val="00FE544A"/>
    <w:rsid w:val="07EEE265"/>
    <w:rsid w:val="15FBF9DF"/>
    <w:rsid w:val="272F494F"/>
    <w:rsid w:val="3C06A6CE"/>
    <w:rsid w:val="5C2CE7BB"/>
    <w:rsid w:val="5DB3DBB3"/>
    <w:rsid w:val="6388C912"/>
    <w:rsid w:val="6FB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82A0A8"/>
  <w15:docId w15:val="{D7AB7A27-4355-40CE-B0FC-4487AC21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FE2F84"/>
    <w:rPr>
      <w:rFonts w:ascii="Arial" w:eastAsiaTheme="minorHAnsi" w:hAnsi="Arial" w:cs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F84"/>
    <w:pPr>
      <w:autoSpaceDE w:val="0"/>
      <w:autoSpaceDN w:val="0"/>
      <w:adjustRightInd w:val="0"/>
    </w:pPr>
    <w:rPr>
      <w:rFonts w:ascii="Frutiger LT Std 45 Light" w:eastAsiaTheme="minorHAnsi" w:hAnsi="Frutiger LT Std 45 Light" w:cs="Frutiger LT Std 45 Light"/>
      <w:color w:val="000000"/>
      <w:lang w:eastAsia="en-US"/>
    </w:rPr>
  </w:style>
  <w:style w:type="paragraph" w:styleId="Listenabsatz">
    <w:name w:val="List Paragraph"/>
    <w:basedOn w:val="Standard"/>
    <w:uiPriority w:val="34"/>
    <w:rsid w:val="00FE2F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858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858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58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58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582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8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23-02\Projektordner%20Kopie\50_Inhalte\Downloads\23_02_Vorlage_Downloads%20vom%20Kor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C86782A6A324EB27E1E5F3A589593" ma:contentTypeVersion="15" ma:contentTypeDescription="Ein neues Dokument erstellen." ma:contentTypeScope="" ma:versionID="c9a6c3e9f762ea22bac73c747ec57a5e">
  <xsd:schema xmlns:xsd="http://www.w3.org/2001/XMLSchema" xmlns:xs="http://www.w3.org/2001/XMLSchema" xmlns:p="http://schemas.microsoft.com/office/2006/metadata/properties" xmlns:ns2="670ac341-2a54-47ce-95e8-eb0711e286dc" xmlns:ns3="4baad9c8-f213-4a05-b37e-b7c486ead447" targetNamespace="http://schemas.microsoft.com/office/2006/metadata/properties" ma:root="true" ma:fieldsID="7ea60393d702a4d8298b21227784fa87" ns2:_="" ns3:_="">
    <xsd:import namespace="670ac341-2a54-47ce-95e8-eb0711e286dc"/>
    <xsd:import namespace="4baad9c8-f213-4a05-b37e-b7c486ead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ac341-2a54-47ce-95e8-eb0711e28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bbd0b662-4f41-41cd-922b-c5cf9e325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d9c8-f213-4a05-b37e-b7c486ead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e92d04-2dbf-4454-b882-82a6f7dfe828}" ma:internalName="TaxCatchAll" ma:showField="CatchAllData" ma:web="4baad9c8-f213-4a05-b37e-b7c486ead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0ac341-2a54-47ce-95e8-eb0711e286dc">
      <Terms xmlns="http://schemas.microsoft.com/office/infopath/2007/PartnerControls"/>
    </lcf76f155ced4ddcb4097134ff3c332f>
    <TaxCatchAll xmlns="4baad9c8-f213-4a05-b37e-b7c486ead447" xsi:nil="true"/>
  </documentManagement>
</p:properties>
</file>

<file path=customXml/itemProps1.xml><?xml version="1.0" encoding="utf-8"?>
<ds:datastoreItem xmlns:ds="http://schemas.openxmlformats.org/officeDocument/2006/customXml" ds:itemID="{7486BE87-FA68-49FA-8674-EAF377905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01028B-7F09-4B9E-BB8A-1948F3A2F636}"/>
</file>

<file path=customXml/itemProps4.xml><?xml version="1.0" encoding="utf-8"?>
<ds:datastoreItem xmlns:ds="http://schemas.openxmlformats.org/officeDocument/2006/customXml" ds:itemID="{7BFF25DE-815A-4D4E-A2DB-980C102ADD23}"/>
</file>

<file path=docProps/app.xml><?xml version="1.0" encoding="utf-8"?>
<Properties xmlns="http://schemas.openxmlformats.org/officeDocument/2006/extended-properties" xmlns:vt="http://schemas.openxmlformats.org/officeDocument/2006/docPropsVTypes">
  <Template>23_02_Vorlage_Downloads vom Korn</Template>
  <TotalTime>0</TotalTime>
  <Pages>2</Pages>
  <Words>627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Wyssen Hanspeter</cp:lastModifiedBy>
  <cp:revision>15</cp:revision>
  <cp:lastPrinted>2016-08-15T09:07:00Z</cp:lastPrinted>
  <dcterms:created xsi:type="dcterms:W3CDTF">2024-03-18T15:40:00Z</dcterms:created>
  <dcterms:modified xsi:type="dcterms:W3CDTF">2024-03-19T07:29:00Z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0x01010067FC86782A6A324EB27E1E5F3A589593</vt:lpwstr>
  </property>
  <property fmtid="{D5CDD505-2E9C-101B-9397-08002B2CF9AE}" pid="3" name="MediaServiceImageTags">
    <vt:lpwstr/>
  </property>
</Properties>
</file>